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Hvíta Gøta - Samfelag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Fólkaræði</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Hugleiðing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Í einum fólkaræði eru øll við til at ávirka og taka avgerðir. Hetta eru grundleggjandi virðir í samfelag okkara, ið úlvarnir/títlingarnir við virkseminum í hesi gøtu skulu fáa eina kenslu av. Tey kunnu við at vera virkin ávirka úrslitið av teimum umstøðunum, tey eru ein partur av.</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Gøtan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Úlvurin/títlingurin skal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Útdýping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Vera við til at fyrireika 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Fundir kunnu uppbyggjast á ymiskan hátt og hava ymiskt innihald. Við at lata úlvarnar/títlingarnar luttaka í fyrireikingini, fáa tey høvi at ávirka, royna at raðfesta og velja frá, osv. Hetta kann byggjast upp um eitt tema, soleiðis at tað er lættari hjá úlvunum/títlingunum at ‘fyrihalda’ seg til evnið.</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Spurningur er, um tíðarkarmar, kostnaður, osv. skulu setast upp áðrenn farið verður í gongd ella hetta skal takast samstundis sum lagt verður til rættis. Td. ber neyvan til at fara í biograf, tí hetta kostar, gongur ikki samstundis sum fundurin er, osv.</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Uppgávan er helst lættast hjá úlvunum/títlingunum at fara undir, um tey fáa eina bundna uppgávu, tvs. at treytirnar eru givnar frammanundan.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Vitja bý- ella bygdaráð.</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Við at fara á vitjan, fær úlvurin/títlingurin eina fatan av, hvørjar avgerðir vera tiknar í einum bý- ella bygdaráði.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Kenna til javnrættindi.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Øll børn hava rættindi, hóast tey ikki eru greið yvir hetta. Javnrættindi hjá børnum kann eisini vera at kenna til egin rættindi</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 kann Barnarættindasáttmálin brúkast sum undirbyggjandi tilfar. Sáttmálin liggur á barnabati.fo</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Hugskot til fundir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Vera við til at fyrireika fund:</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Til ber at fáa úlvarnar/títlingarnar at taka avgerðir á ymsan hátt:</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Lat patrúljurnar gera hvør sín fund, har tey sjálvi avgera, hvat fyri virksemi skal vera, hvørji spøl vera spæld, hvørjir sangir vera sungnir o.s.fr. Til ber t.d. at gera sum krav, at minst 2 spøl og 2 sangir skulu vera við í skránni. Til ber eisini at patrúljan, sum hevur fyrireika fundin, skal “hava” fundin.</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Úlvarnir/títlingarnir kunnu stemma um tey skulu gongutúr ella hava annað virksemi. Stemma verður við at úlvarnir/títlingarnir renna yvir til ymiskar veggir, har t.d. ein veggur kann vera “nei” og ein kann vera “ja”.</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Hvør patrúlja útnevnir eitt umboð í eina nevnd, og nevndin skal so avgera, hvat hendir komandi fundin.</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Úlva/títlingaárið kann byrja við, at úlvarnir/títlingarnir vera spurdir um, hvat teir hava hug at gera komandi árið og síðani gera eina skrá útfrá hesum.</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Vitja bý- ella bygdaráð:</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 eru eingi hugskot - øll eru vælkomin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Kenna til javnrættindi:</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Javnrættindi kunnu verða lýst við at vísa á dømir við órættvísi. </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Ger eina stafett-renning, har annar parturin skal gera alt virksemið tvær ferðir og hin bara einaferð. Tey kunnu verða býtt upp eftir, at tey, sum eru fødd fyrra hálvár eru í øðrum partinum og tey, sum eru fødd seinna hálvár eru í hinum partinum. Tey kunnu eisini verða býtt upp eftir kyni, hædd, eygnaliti ella klæknafrámerki.</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Ger eina forðarenning, har annar parturin t.d. er í skóm við høgum hali og hin er í vanligum skóm. Ella har tey í øðrum partinum eru bundin saman tvey og tvey og tey í hinum partinum kappast ein og ein. </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Samleiki er partur av barnarættindasáttmálanum, øll hava rætt til eitt navn (§ nr. 7-8). Ongin skal tiltalast ‘tú’, tí man ikki kennir navnið. Her kann navnaspæl nýtast, soleiðis at øll kenna nøvnini á øllum.</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